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68" w:rsidRDefault="00563868" w:rsidP="00563868">
      <w:pPr>
        <w:rPr>
          <w:rFonts w:ascii="Arial" w:hAnsi="Arial" w:cs="Arial"/>
          <w:b/>
          <w:sz w:val="36"/>
          <w:szCs w:val="36"/>
          <w:lang w:val="en-US"/>
        </w:rPr>
      </w:pPr>
    </w:p>
    <w:p w:rsidR="00AE7B35" w:rsidRPr="00563868" w:rsidRDefault="00E215B5" w:rsidP="00563868">
      <w:pPr>
        <w:rPr>
          <w:rFonts w:ascii="Calibri" w:hAnsi="Calibri" w:cs="Arial"/>
          <w:sz w:val="22"/>
          <w:szCs w:val="22"/>
          <w:lang w:val="en-US"/>
        </w:rPr>
      </w:pPr>
      <w:bookmarkStart w:id="0" w:name="_GoBack"/>
      <w:bookmarkEnd w:id="0"/>
      <w:r w:rsidRPr="00563868">
        <w:rPr>
          <w:rFonts w:ascii="Calibri" w:hAnsi="Calibri" w:cs="Arial"/>
          <w:b/>
          <w:sz w:val="28"/>
          <w:szCs w:val="28"/>
          <w:lang w:val="en-US"/>
        </w:rPr>
        <w:t>St Barnabas Promotions Ltd</w:t>
      </w:r>
    </w:p>
    <w:p w:rsidR="00AE7B35" w:rsidRPr="00563868" w:rsidRDefault="00AE7B35" w:rsidP="00B05677">
      <w:pPr>
        <w:jc w:val="center"/>
        <w:rPr>
          <w:rFonts w:ascii="Calibri" w:hAnsi="Calibri" w:cs="Arial"/>
          <w:sz w:val="22"/>
          <w:szCs w:val="22"/>
          <w:lang w:val="en-US"/>
        </w:rPr>
      </w:pPr>
    </w:p>
    <w:p w:rsidR="00AE7B35" w:rsidRPr="00563868" w:rsidRDefault="00AE7B35" w:rsidP="00563868">
      <w:pPr>
        <w:rPr>
          <w:rFonts w:ascii="Calibri" w:hAnsi="Calibri" w:cs="Arial"/>
          <w:b/>
          <w:sz w:val="28"/>
          <w:szCs w:val="28"/>
          <w:lang w:val="en-US"/>
        </w:rPr>
      </w:pPr>
      <w:r w:rsidRPr="00563868">
        <w:rPr>
          <w:rFonts w:ascii="Calibri" w:hAnsi="Calibri" w:cs="Arial"/>
          <w:b/>
          <w:sz w:val="28"/>
          <w:szCs w:val="28"/>
          <w:lang w:val="en-US"/>
        </w:rPr>
        <w:t>Social Responsibility in Gambling</w:t>
      </w:r>
      <w:r w:rsidR="007655F4" w:rsidRPr="00563868"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r w:rsidRPr="00563868">
        <w:rPr>
          <w:rFonts w:ascii="Calibri" w:hAnsi="Calibri" w:cs="Arial"/>
          <w:b/>
          <w:sz w:val="28"/>
          <w:szCs w:val="28"/>
          <w:lang w:val="en-US"/>
        </w:rPr>
        <w:t xml:space="preserve">Policy </w:t>
      </w:r>
    </w:p>
    <w:p w:rsidR="00AE7B35" w:rsidRPr="00563868" w:rsidRDefault="00AE7B35" w:rsidP="00563868">
      <w:pPr>
        <w:rPr>
          <w:rFonts w:ascii="Calibri" w:hAnsi="Calibri" w:cs="Arial"/>
          <w:b/>
          <w:sz w:val="22"/>
          <w:szCs w:val="22"/>
          <w:lang w:val="en-US"/>
        </w:rPr>
      </w:pPr>
    </w:p>
    <w:p w:rsidR="00B05677" w:rsidRPr="00563868" w:rsidRDefault="00B05677" w:rsidP="00563868">
      <w:pPr>
        <w:rPr>
          <w:rFonts w:ascii="Calibri" w:hAnsi="Calibri" w:cs="Arial"/>
          <w:b/>
          <w:sz w:val="22"/>
          <w:szCs w:val="22"/>
          <w:lang w:val="en-US"/>
        </w:rPr>
      </w:pPr>
    </w:p>
    <w:p w:rsidR="00AE7B35" w:rsidRPr="00563868" w:rsidRDefault="00AE7B35">
      <w:pPr>
        <w:rPr>
          <w:rFonts w:ascii="Calibri" w:hAnsi="Calibri" w:cs="Arial"/>
          <w:b/>
          <w:sz w:val="22"/>
          <w:szCs w:val="22"/>
        </w:rPr>
      </w:pPr>
      <w:r w:rsidRPr="00563868">
        <w:rPr>
          <w:rFonts w:ascii="Calibri" w:hAnsi="Calibri" w:cs="Arial"/>
          <w:b/>
          <w:sz w:val="22"/>
          <w:szCs w:val="22"/>
        </w:rPr>
        <w:t>Introduction</w:t>
      </w:r>
    </w:p>
    <w:p w:rsidR="00AE7B35" w:rsidRPr="00563868" w:rsidRDefault="00AE7B35">
      <w:pPr>
        <w:rPr>
          <w:rFonts w:ascii="Calibri" w:hAnsi="Calibri" w:cs="Arial"/>
          <w:sz w:val="22"/>
          <w:szCs w:val="22"/>
        </w:rPr>
      </w:pPr>
    </w:p>
    <w:p w:rsidR="00AE7B35" w:rsidRPr="00563868" w:rsidRDefault="00AD1F0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 Barnabas Promotions Ltd </w:t>
      </w:r>
      <w:r w:rsidR="008E45DE">
        <w:rPr>
          <w:rFonts w:ascii="Calibri" w:hAnsi="Calibri" w:cs="Arial"/>
          <w:sz w:val="22"/>
          <w:szCs w:val="22"/>
        </w:rPr>
        <w:t xml:space="preserve">(we) </w:t>
      </w:r>
      <w:r w:rsidR="00AE7B35" w:rsidRPr="00563868">
        <w:rPr>
          <w:rFonts w:ascii="Calibri" w:hAnsi="Calibri" w:cs="Arial"/>
          <w:sz w:val="22"/>
          <w:szCs w:val="22"/>
        </w:rPr>
        <w:t>operate a Society Lottery</w:t>
      </w:r>
      <w:r>
        <w:rPr>
          <w:rFonts w:ascii="Calibri" w:hAnsi="Calibri" w:cs="Arial"/>
          <w:sz w:val="22"/>
          <w:szCs w:val="22"/>
        </w:rPr>
        <w:t xml:space="preserve"> and associated lottery products</w:t>
      </w:r>
      <w:r w:rsidR="00AE7B35" w:rsidRPr="00563868">
        <w:rPr>
          <w:rFonts w:ascii="Calibri" w:hAnsi="Calibri" w:cs="Arial"/>
          <w:sz w:val="22"/>
          <w:szCs w:val="22"/>
        </w:rPr>
        <w:t xml:space="preserve"> for the general public in </w:t>
      </w:r>
      <w:r w:rsidR="00B05677" w:rsidRPr="00563868">
        <w:rPr>
          <w:rFonts w:ascii="Calibri" w:hAnsi="Calibri" w:cs="Arial"/>
          <w:sz w:val="22"/>
          <w:szCs w:val="22"/>
        </w:rPr>
        <w:t xml:space="preserve">Lincolnshire </w:t>
      </w:r>
      <w:r w:rsidR="00AE7B35" w:rsidRPr="00563868">
        <w:rPr>
          <w:rFonts w:ascii="Calibri" w:hAnsi="Calibri" w:cs="Arial"/>
          <w:sz w:val="22"/>
          <w:szCs w:val="22"/>
        </w:rPr>
        <w:t xml:space="preserve">and the surrounding area for the sole purpose of raising funds for the </w:t>
      </w:r>
      <w:r w:rsidR="00B05677" w:rsidRPr="00563868">
        <w:rPr>
          <w:rFonts w:ascii="Calibri" w:hAnsi="Calibri" w:cs="Arial"/>
          <w:sz w:val="22"/>
          <w:szCs w:val="22"/>
        </w:rPr>
        <w:t>St Barnabas Hospice</w:t>
      </w:r>
      <w:r w:rsidR="0061060E">
        <w:rPr>
          <w:rFonts w:ascii="Calibri" w:hAnsi="Calibri" w:cs="Arial"/>
          <w:sz w:val="22"/>
          <w:szCs w:val="22"/>
        </w:rPr>
        <w:t xml:space="preserve"> Trust (Lincolnshire)</w:t>
      </w:r>
      <w:r w:rsidR="00B05677" w:rsidRPr="00563868">
        <w:rPr>
          <w:rFonts w:ascii="Calibri" w:hAnsi="Calibri" w:cs="Arial"/>
          <w:sz w:val="22"/>
          <w:szCs w:val="22"/>
        </w:rPr>
        <w:t>.</w:t>
      </w:r>
    </w:p>
    <w:p w:rsidR="00AE7B35" w:rsidRPr="00563868" w:rsidRDefault="00AE7B35">
      <w:pPr>
        <w:jc w:val="both"/>
        <w:rPr>
          <w:rFonts w:ascii="Calibri" w:hAnsi="Calibri" w:cs="Arial"/>
          <w:sz w:val="22"/>
          <w:szCs w:val="22"/>
        </w:rPr>
      </w:pPr>
    </w:p>
    <w:p w:rsidR="00AE7B35" w:rsidRPr="00563868" w:rsidRDefault="008E45D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We are </w:t>
      </w:r>
      <w:r w:rsidR="00AE7B35" w:rsidRPr="00563868">
        <w:rPr>
          <w:rFonts w:ascii="Calibri" w:hAnsi="Calibri" w:cs="Arial"/>
          <w:sz w:val="22"/>
          <w:szCs w:val="22"/>
        </w:rPr>
        <w:t xml:space="preserve">committed to ensuring that the </w:t>
      </w:r>
      <w:r w:rsidR="001176A2">
        <w:rPr>
          <w:rFonts w:ascii="Calibri" w:hAnsi="Calibri" w:cs="Arial"/>
          <w:sz w:val="22"/>
          <w:szCs w:val="22"/>
        </w:rPr>
        <w:t>L</w:t>
      </w:r>
      <w:r w:rsidR="00AE7B35" w:rsidRPr="00563868">
        <w:rPr>
          <w:rFonts w:ascii="Calibri" w:hAnsi="Calibri" w:cs="Arial"/>
          <w:sz w:val="22"/>
          <w:szCs w:val="22"/>
        </w:rPr>
        <w:t>ottery</w:t>
      </w:r>
      <w:r w:rsidR="00AD1F0C">
        <w:rPr>
          <w:rFonts w:ascii="Calibri" w:hAnsi="Calibri" w:cs="Arial"/>
          <w:sz w:val="22"/>
          <w:szCs w:val="22"/>
        </w:rPr>
        <w:t xml:space="preserve"> and associated lottery products are o</w:t>
      </w:r>
      <w:r w:rsidR="00AE7B35" w:rsidRPr="00563868">
        <w:rPr>
          <w:rFonts w:ascii="Calibri" w:hAnsi="Calibri" w:cs="Arial"/>
          <w:sz w:val="22"/>
          <w:szCs w:val="22"/>
        </w:rPr>
        <w:t>perated in a secure, fair and socially responsible way and to endorse responsible gambling amongst</w:t>
      </w:r>
      <w:r>
        <w:rPr>
          <w:rFonts w:ascii="Calibri" w:hAnsi="Calibri" w:cs="Arial"/>
          <w:sz w:val="22"/>
          <w:szCs w:val="22"/>
        </w:rPr>
        <w:t xml:space="preserve"> our </w:t>
      </w:r>
      <w:r w:rsidR="00AE7B35" w:rsidRPr="00563868">
        <w:rPr>
          <w:rFonts w:ascii="Calibri" w:hAnsi="Calibri" w:cs="Arial"/>
          <w:sz w:val="22"/>
          <w:szCs w:val="22"/>
        </w:rPr>
        <w:t>members.</w:t>
      </w:r>
    </w:p>
    <w:p w:rsidR="00AE7B35" w:rsidRPr="00563868" w:rsidRDefault="00AE7B35">
      <w:pPr>
        <w:jc w:val="both"/>
        <w:rPr>
          <w:rFonts w:ascii="Calibri" w:hAnsi="Calibri" w:cs="Arial"/>
          <w:sz w:val="22"/>
          <w:szCs w:val="22"/>
        </w:rPr>
      </w:pPr>
    </w:p>
    <w:p w:rsidR="00AE7B35" w:rsidRPr="00563868" w:rsidRDefault="00AE7B35">
      <w:pPr>
        <w:jc w:val="both"/>
        <w:rPr>
          <w:rFonts w:ascii="Calibri" w:hAnsi="Calibri" w:cs="Arial"/>
          <w:sz w:val="22"/>
          <w:szCs w:val="22"/>
        </w:rPr>
      </w:pPr>
      <w:r w:rsidRPr="00563868">
        <w:rPr>
          <w:rFonts w:ascii="Calibri" w:hAnsi="Calibri" w:cs="Arial"/>
          <w:sz w:val="22"/>
          <w:szCs w:val="22"/>
        </w:rPr>
        <w:t>The Gambling Commission regulates gambling in the public interest.  The regulatory framework introduced by the Gambling Act 2005 is based on three licensing objectives:</w:t>
      </w:r>
    </w:p>
    <w:p w:rsidR="00AE7B35" w:rsidRPr="00563868" w:rsidRDefault="00AE7B35">
      <w:pPr>
        <w:jc w:val="both"/>
        <w:rPr>
          <w:rFonts w:ascii="Calibri" w:hAnsi="Calibri" w:cs="Arial"/>
          <w:sz w:val="22"/>
          <w:szCs w:val="22"/>
        </w:rPr>
      </w:pPr>
    </w:p>
    <w:p w:rsidR="00AE7B35" w:rsidRPr="00563868" w:rsidRDefault="00AE7B35" w:rsidP="00E04C9E">
      <w:pPr>
        <w:numPr>
          <w:ilvl w:val="0"/>
          <w:numId w:val="4"/>
        </w:numPr>
        <w:jc w:val="both"/>
        <w:rPr>
          <w:rFonts w:ascii="Calibri" w:hAnsi="Calibri" w:cs="Arial"/>
          <w:b/>
          <w:sz w:val="22"/>
          <w:szCs w:val="22"/>
        </w:rPr>
      </w:pPr>
      <w:r w:rsidRPr="00563868">
        <w:rPr>
          <w:rFonts w:ascii="Calibri" w:hAnsi="Calibri" w:cs="Arial"/>
          <w:b/>
          <w:sz w:val="22"/>
          <w:szCs w:val="22"/>
        </w:rPr>
        <w:t>Preventing gambling from being a source of crime and disorder, being associated with crime and disorder, or being used to support crime.</w:t>
      </w:r>
    </w:p>
    <w:p w:rsidR="00AE7B35" w:rsidRPr="00563868" w:rsidRDefault="00AE7B35" w:rsidP="00E04C9E">
      <w:pPr>
        <w:numPr>
          <w:ilvl w:val="0"/>
          <w:numId w:val="4"/>
        </w:numPr>
        <w:jc w:val="both"/>
        <w:rPr>
          <w:rFonts w:ascii="Calibri" w:hAnsi="Calibri" w:cs="Arial"/>
          <w:b/>
          <w:sz w:val="22"/>
          <w:szCs w:val="22"/>
        </w:rPr>
      </w:pPr>
      <w:r w:rsidRPr="00563868">
        <w:rPr>
          <w:rFonts w:ascii="Calibri" w:hAnsi="Calibri" w:cs="Arial"/>
          <w:b/>
          <w:sz w:val="22"/>
          <w:szCs w:val="22"/>
        </w:rPr>
        <w:t>Ensuring that gambling is conducted in a fair and open way.</w:t>
      </w:r>
    </w:p>
    <w:p w:rsidR="00AE7B35" w:rsidRPr="00563868" w:rsidRDefault="00AE7B35" w:rsidP="00E04C9E">
      <w:pPr>
        <w:numPr>
          <w:ilvl w:val="0"/>
          <w:numId w:val="4"/>
        </w:numPr>
        <w:jc w:val="both"/>
        <w:rPr>
          <w:rFonts w:ascii="Calibri" w:hAnsi="Calibri" w:cs="Arial"/>
          <w:b/>
          <w:sz w:val="22"/>
          <w:szCs w:val="22"/>
        </w:rPr>
      </w:pPr>
      <w:r w:rsidRPr="00563868">
        <w:rPr>
          <w:rFonts w:ascii="Calibri" w:hAnsi="Calibri" w:cs="Arial"/>
          <w:b/>
          <w:sz w:val="22"/>
          <w:szCs w:val="22"/>
        </w:rPr>
        <w:t>Protecting children and other vulnerable persons from being harmed or exploited by gambling.</w:t>
      </w:r>
    </w:p>
    <w:p w:rsidR="00AE7B35" w:rsidRPr="00563868" w:rsidRDefault="00AE7B35">
      <w:pPr>
        <w:jc w:val="both"/>
        <w:rPr>
          <w:rFonts w:ascii="Calibri" w:hAnsi="Calibri" w:cs="Arial"/>
          <w:sz w:val="22"/>
          <w:szCs w:val="22"/>
        </w:rPr>
      </w:pPr>
    </w:p>
    <w:p w:rsidR="00AE7B35" w:rsidRPr="00563868" w:rsidRDefault="00AE7B35">
      <w:pPr>
        <w:jc w:val="both"/>
        <w:rPr>
          <w:rFonts w:ascii="Calibri" w:hAnsi="Calibri" w:cs="Arial"/>
          <w:sz w:val="22"/>
          <w:szCs w:val="22"/>
        </w:rPr>
      </w:pPr>
      <w:r w:rsidRPr="00563868">
        <w:rPr>
          <w:rFonts w:ascii="Calibri" w:hAnsi="Calibri" w:cs="Arial"/>
          <w:sz w:val="22"/>
          <w:szCs w:val="22"/>
        </w:rPr>
        <w:t>This document sets out the S</w:t>
      </w:r>
      <w:r w:rsidR="00F026B2">
        <w:rPr>
          <w:rFonts w:ascii="Calibri" w:hAnsi="Calibri" w:cs="Arial"/>
          <w:sz w:val="22"/>
          <w:szCs w:val="22"/>
        </w:rPr>
        <w:t xml:space="preserve">t Barnabas Promotions </w:t>
      </w:r>
      <w:r w:rsidR="008E45DE">
        <w:rPr>
          <w:rFonts w:ascii="Calibri" w:hAnsi="Calibri" w:cs="Arial"/>
          <w:sz w:val="22"/>
          <w:szCs w:val="22"/>
        </w:rPr>
        <w:t xml:space="preserve">Ltd </w:t>
      </w:r>
      <w:r w:rsidRPr="00563868">
        <w:rPr>
          <w:rFonts w:ascii="Calibri" w:hAnsi="Calibri" w:cs="Arial"/>
          <w:sz w:val="22"/>
          <w:szCs w:val="22"/>
        </w:rPr>
        <w:t xml:space="preserve">policies and approach to ensuring we </w:t>
      </w:r>
      <w:r w:rsidR="00F026B2">
        <w:rPr>
          <w:rFonts w:ascii="Calibri" w:hAnsi="Calibri" w:cs="Arial"/>
          <w:sz w:val="22"/>
          <w:szCs w:val="22"/>
        </w:rPr>
        <w:t>manage</w:t>
      </w:r>
      <w:r w:rsidRPr="00563868">
        <w:rPr>
          <w:rFonts w:ascii="Calibri" w:hAnsi="Calibri" w:cs="Arial"/>
          <w:sz w:val="22"/>
          <w:szCs w:val="22"/>
        </w:rPr>
        <w:t xml:space="preserve"> </w:t>
      </w:r>
      <w:r w:rsidR="00F026B2">
        <w:rPr>
          <w:rFonts w:ascii="Calibri" w:hAnsi="Calibri" w:cs="Arial"/>
          <w:sz w:val="22"/>
          <w:szCs w:val="22"/>
        </w:rPr>
        <w:t>a</w:t>
      </w:r>
      <w:r w:rsidRPr="00563868">
        <w:rPr>
          <w:rFonts w:ascii="Calibri" w:hAnsi="Calibri" w:cs="Arial"/>
          <w:sz w:val="22"/>
          <w:szCs w:val="22"/>
        </w:rPr>
        <w:t xml:space="preserve">ny gambling activities in a socially responsible way. </w:t>
      </w:r>
      <w:r w:rsidR="004123F6">
        <w:rPr>
          <w:rFonts w:ascii="Calibri" w:hAnsi="Calibri" w:cs="Arial"/>
          <w:sz w:val="22"/>
          <w:szCs w:val="22"/>
        </w:rPr>
        <w:t xml:space="preserve">St Barnabas Promotions </w:t>
      </w:r>
      <w:r w:rsidRPr="00563868">
        <w:rPr>
          <w:rFonts w:ascii="Calibri" w:hAnsi="Calibri" w:cs="Arial"/>
          <w:sz w:val="22"/>
          <w:szCs w:val="22"/>
        </w:rPr>
        <w:t>staff</w:t>
      </w:r>
      <w:r w:rsidR="004123F6">
        <w:rPr>
          <w:rFonts w:ascii="Calibri" w:hAnsi="Calibri" w:cs="Arial"/>
          <w:sz w:val="22"/>
          <w:szCs w:val="22"/>
        </w:rPr>
        <w:t>, trustees</w:t>
      </w:r>
      <w:r w:rsidR="00E7020D">
        <w:rPr>
          <w:rFonts w:ascii="Calibri" w:hAnsi="Calibri" w:cs="Arial"/>
          <w:sz w:val="22"/>
          <w:szCs w:val="22"/>
        </w:rPr>
        <w:t>, volunteers</w:t>
      </w:r>
      <w:r w:rsidRPr="00563868">
        <w:rPr>
          <w:rFonts w:ascii="Calibri" w:hAnsi="Calibri" w:cs="Arial"/>
          <w:sz w:val="22"/>
          <w:szCs w:val="22"/>
        </w:rPr>
        <w:t xml:space="preserve"> </w:t>
      </w:r>
      <w:r w:rsidR="004123F6">
        <w:rPr>
          <w:rFonts w:ascii="Calibri" w:hAnsi="Calibri" w:cs="Arial"/>
          <w:sz w:val="22"/>
          <w:szCs w:val="22"/>
        </w:rPr>
        <w:t xml:space="preserve">and directly involved external companies </w:t>
      </w:r>
      <w:r w:rsidRPr="00563868">
        <w:rPr>
          <w:rFonts w:ascii="Calibri" w:hAnsi="Calibri" w:cs="Arial"/>
          <w:sz w:val="22"/>
          <w:szCs w:val="22"/>
        </w:rPr>
        <w:t xml:space="preserve">are familiar with this document and read it upon appointment and every </w:t>
      </w:r>
      <w:r w:rsidR="00563868">
        <w:rPr>
          <w:rFonts w:ascii="Calibri" w:hAnsi="Calibri" w:cs="Arial"/>
          <w:sz w:val="22"/>
          <w:szCs w:val="22"/>
        </w:rPr>
        <w:t>twelve</w:t>
      </w:r>
      <w:r w:rsidRPr="00563868">
        <w:rPr>
          <w:rFonts w:ascii="Calibri" w:hAnsi="Calibri" w:cs="Arial"/>
          <w:sz w:val="22"/>
          <w:szCs w:val="22"/>
        </w:rPr>
        <w:t xml:space="preserve"> months thereafter. </w:t>
      </w:r>
    </w:p>
    <w:p w:rsidR="00FA62A0" w:rsidRDefault="007F2942" w:rsidP="007F2942">
      <w:pPr>
        <w:tabs>
          <w:tab w:val="left" w:pos="5232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4"/>
      </w:tblGrid>
      <w:tr w:rsidR="00563868" w:rsidTr="00563868">
        <w:tc>
          <w:tcPr>
            <w:tcW w:w="9184" w:type="dxa"/>
          </w:tcPr>
          <w:p w:rsidR="00563868" w:rsidRDefault="00563868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1. </w:t>
            </w:r>
            <w:r w:rsidRPr="00563868">
              <w:rPr>
                <w:rFonts w:ascii="Calibri" w:hAnsi="Calibri" w:cs="Arial"/>
                <w:b/>
                <w:sz w:val="22"/>
                <w:szCs w:val="22"/>
              </w:rPr>
              <w:t>Preventing gambling from being a source of crime and disorder</w:t>
            </w:r>
          </w:p>
          <w:p w:rsidR="0029064C" w:rsidRDefault="0029064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63868" w:rsidTr="00563868">
        <w:tc>
          <w:tcPr>
            <w:tcW w:w="9184" w:type="dxa"/>
          </w:tcPr>
          <w:p w:rsidR="00FA62A0" w:rsidRPr="00563868" w:rsidRDefault="00FA62A0" w:rsidP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 xml:space="preserve">When an individual joins the St Barnabas Lottery we will </w:t>
            </w:r>
            <w:r w:rsidR="008E45DE">
              <w:rPr>
                <w:rFonts w:ascii="Calibri" w:hAnsi="Calibri" w:cs="Arial"/>
                <w:sz w:val="22"/>
                <w:szCs w:val="22"/>
              </w:rPr>
              <w:t xml:space="preserve">make every effort to </w:t>
            </w:r>
            <w:r w:rsidRPr="00563868">
              <w:rPr>
                <w:rFonts w:ascii="Calibri" w:hAnsi="Calibri" w:cs="Arial"/>
                <w:sz w:val="22"/>
                <w:szCs w:val="22"/>
              </w:rPr>
              <w:t>ensure that:</w:t>
            </w:r>
          </w:p>
          <w:p w:rsidR="00FA62A0" w:rsidRPr="00563868" w:rsidRDefault="00FA62A0" w:rsidP="00FA62A0">
            <w:pPr>
              <w:ind w:right="-671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A62A0" w:rsidRPr="00563868" w:rsidRDefault="00FA62A0" w:rsidP="00FA62A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>The individual is aged 16 or over.</w:t>
            </w:r>
          </w:p>
          <w:p w:rsidR="00FA62A0" w:rsidRPr="00563868" w:rsidRDefault="00FA62A0" w:rsidP="00FA62A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>The individual is resident in Great Britain.</w:t>
            </w:r>
          </w:p>
          <w:p w:rsidR="00FA62A0" w:rsidRPr="00563868" w:rsidRDefault="00FA62A0" w:rsidP="00FA62A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 xml:space="preserve">We do not suspect money laundering in any way in line with the Proceeds of Crime Act. </w:t>
            </w:r>
          </w:p>
          <w:p w:rsidR="00FA62A0" w:rsidRPr="00563868" w:rsidRDefault="00FA62A0" w:rsidP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A62A0" w:rsidRPr="00563868" w:rsidRDefault="00FA62A0" w:rsidP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>We retain the right to cancel any membership should we suspect criminal activity.</w:t>
            </w:r>
          </w:p>
          <w:p w:rsidR="00FA62A0" w:rsidRPr="00563868" w:rsidRDefault="00FA62A0" w:rsidP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61F2A" w:rsidRDefault="005D1006" w:rsidP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 Cash Handling policy and </w:t>
            </w:r>
            <w:r w:rsidR="00861F2A">
              <w:rPr>
                <w:rFonts w:ascii="Calibri" w:hAnsi="Calibri" w:cs="Arial"/>
                <w:sz w:val="22"/>
                <w:szCs w:val="22"/>
              </w:rPr>
              <w:t xml:space="preserve">Anti–money laundering and Combatting the Financing of Terrorism policies </w:t>
            </w:r>
            <w:r>
              <w:rPr>
                <w:rFonts w:ascii="Calibri" w:hAnsi="Calibri" w:cs="Arial"/>
                <w:sz w:val="22"/>
                <w:szCs w:val="22"/>
              </w:rPr>
              <w:t>are in place designed to minimise the risk of crime.</w:t>
            </w:r>
          </w:p>
          <w:p w:rsidR="00861F2A" w:rsidRDefault="00861F2A" w:rsidP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D1F0C" w:rsidRDefault="00FA62A0" w:rsidP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 xml:space="preserve">We limit the maximum number of </w:t>
            </w:r>
            <w:r w:rsidR="00AD1F0C">
              <w:rPr>
                <w:rFonts w:ascii="Calibri" w:hAnsi="Calibri" w:cs="Arial"/>
                <w:sz w:val="22"/>
                <w:szCs w:val="22"/>
              </w:rPr>
              <w:t>purchases of our gambling products as follows:</w:t>
            </w:r>
          </w:p>
          <w:p w:rsidR="00FA62A0" w:rsidRDefault="00AD1F0C" w:rsidP="00AD1F0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D1F0C">
              <w:rPr>
                <w:rFonts w:ascii="Calibri" w:hAnsi="Calibri" w:cs="Arial"/>
                <w:sz w:val="22"/>
                <w:szCs w:val="22"/>
              </w:rPr>
              <w:t xml:space="preserve">20 </w:t>
            </w:r>
            <w:r w:rsidR="00FA62A0" w:rsidRPr="00AD1F0C">
              <w:rPr>
                <w:rFonts w:ascii="Calibri" w:hAnsi="Calibri" w:cs="Arial"/>
                <w:sz w:val="22"/>
                <w:szCs w:val="22"/>
              </w:rPr>
              <w:t>entries in the weekly Lottery</w:t>
            </w:r>
            <w:r w:rsidRPr="00AD1F0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E45DE">
              <w:rPr>
                <w:rFonts w:ascii="Calibri" w:hAnsi="Calibri" w:cs="Arial"/>
                <w:sz w:val="22"/>
                <w:szCs w:val="22"/>
              </w:rPr>
              <w:t>(</w:t>
            </w:r>
            <w:r w:rsidRPr="00AD1F0C">
              <w:rPr>
                <w:rFonts w:ascii="Calibri" w:hAnsi="Calibri" w:cs="Arial"/>
                <w:sz w:val="22"/>
                <w:szCs w:val="22"/>
              </w:rPr>
              <w:t>s</w:t>
            </w:r>
            <w:r w:rsidR="00FA62A0" w:rsidRPr="00AD1F0C">
              <w:rPr>
                <w:rFonts w:ascii="Calibri" w:hAnsi="Calibri" w:cs="Arial"/>
                <w:sz w:val="22"/>
                <w:szCs w:val="22"/>
              </w:rPr>
              <w:t>hould any individual request between 6 and 20 entries per week this will be passed to the Lottery Manager for discussion with the individual prior to acceptance or refusal</w:t>
            </w:r>
            <w:r w:rsidR="008E45DE">
              <w:rPr>
                <w:rFonts w:ascii="Calibri" w:hAnsi="Calibri" w:cs="Arial"/>
                <w:sz w:val="22"/>
                <w:szCs w:val="22"/>
              </w:rPr>
              <w:t>)</w:t>
            </w:r>
            <w:r w:rsidR="00FA62A0" w:rsidRPr="00AD1F0C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:rsidR="00AD1F0C" w:rsidRDefault="00AD1F0C" w:rsidP="00AD1F0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100 entries in a St Barnabas Promotions Raffle</w:t>
            </w:r>
          </w:p>
          <w:p w:rsidR="00AD1F0C" w:rsidRDefault="00585EA2" w:rsidP="00AD1F0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</w:t>
            </w:r>
            <w:r w:rsidR="00AD1F0C">
              <w:rPr>
                <w:rFonts w:ascii="Calibri" w:hAnsi="Calibri" w:cs="Arial"/>
                <w:sz w:val="22"/>
                <w:szCs w:val="22"/>
              </w:rPr>
              <w:t xml:space="preserve"> Scratch Cards in a single ordinary transaction, (an order system is in place for bulk </w:t>
            </w:r>
            <w:r w:rsidR="00D24A6E">
              <w:rPr>
                <w:rFonts w:ascii="Calibri" w:hAnsi="Calibri" w:cs="Arial"/>
                <w:sz w:val="22"/>
                <w:szCs w:val="22"/>
              </w:rPr>
              <w:t>purchases for one of occasions).</w:t>
            </w:r>
          </w:p>
          <w:p w:rsidR="00D24A6E" w:rsidRPr="00D24A6E" w:rsidRDefault="00D24A6E" w:rsidP="00D24A6E">
            <w:pPr>
              <w:ind w:left="360"/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:rsidR="00FA62A0" w:rsidRPr="00563868" w:rsidRDefault="00FA62A0" w:rsidP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 xml:space="preserve">We will record any incidents for future reference. </w:t>
            </w:r>
          </w:p>
          <w:p w:rsidR="00563868" w:rsidRDefault="0056386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46BFA" w:rsidRDefault="00046BFA">
      <w:pPr>
        <w:jc w:val="both"/>
        <w:rPr>
          <w:rFonts w:ascii="Calibri" w:hAnsi="Calibri" w:cs="Arial"/>
          <w:sz w:val="22"/>
          <w:szCs w:val="22"/>
        </w:rPr>
      </w:pPr>
    </w:p>
    <w:p w:rsidR="00872F9B" w:rsidRPr="00563868" w:rsidRDefault="00872F9B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4"/>
      </w:tblGrid>
      <w:tr w:rsidR="00FA62A0" w:rsidTr="00FA62A0">
        <w:tc>
          <w:tcPr>
            <w:tcW w:w="9184" w:type="dxa"/>
          </w:tcPr>
          <w:p w:rsidR="00FA62A0" w:rsidRPr="00563868" w:rsidRDefault="00FA62A0" w:rsidP="00FA62A0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2. </w:t>
            </w:r>
            <w:r w:rsidRPr="00563868">
              <w:rPr>
                <w:rFonts w:ascii="Calibri" w:hAnsi="Calibri" w:cs="Arial"/>
                <w:b/>
                <w:sz w:val="22"/>
                <w:szCs w:val="22"/>
              </w:rPr>
              <w:t>Ensuring that gambling is conducted in a fair and open way.</w:t>
            </w:r>
          </w:p>
          <w:p w:rsidR="00FA62A0" w:rsidRDefault="00FA62A0" w:rsidP="00B6529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62A0" w:rsidTr="00FA62A0">
        <w:tc>
          <w:tcPr>
            <w:tcW w:w="9184" w:type="dxa"/>
          </w:tcPr>
          <w:p w:rsidR="00FA62A0" w:rsidRPr="00563868" w:rsidRDefault="00FA62A0" w:rsidP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>We will ensure that:</w:t>
            </w:r>
          </w:p>
          <w:p w:rsidR="00FA62A0" w:rsidRPr="00563868" w:rsidRDefault="00FA62A0" w:rsidP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A62A0" w:rsidRPr="00563868" w:rsidRDefault="00FA62A0" w:rsidP="00FA62A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 xml:space="preserve">Players have access to clear information on matters such as the rules of </w:t>
            </w:r>
            <w:r w:rsidR="00D24A6E">
              <w:rPr>
                <w:rFonts w:ascii="Calibri" w:hAnsi="Calibri" w:cs="Arial"/>
                <w:sz w:val="22"/>
                <w:szCs w:val="22"/>
              </w:rPr>
              <w:t xml:space="preserve">our gambling products </w:t>
            </w:r>
            <w:r w:rsidR="008E45DE">
              <w:rPr>
                <w:rFonts w:ascii="Calibri" w:hAnsi="Calibri" w:cs="Arial"/>
                <w:sz w:val="22"/>
                <w:szCs w:val="22"/>
              </w:rPr>
              <w:t>(Terms and Conditions)</w:t>
            </w:r>
            <w:r w:rsidR="001E46C2">
              <w:rPr>
                <w:rFonts w:ascii="Calibri" w:hAnsi="Calibri" w:cs="Arial"/>
                <w:sz w:val="22"/>
                <w:szCs w:val="22"/>
              </w:rPr>
              <w:t xml:space="preserve"> and </w:t>
            </w:r>
            <w:r w:rsidRPr="00563868">
              <w:rPr>
                <w:rFonts w:ascii="Calibri" w:hAnsi="Calibri" w:cs="Arial"/>
                <w:sz w:val="22"/>
                <w:szCs w:val="22"/>
              </w:rPr>
              <w:t>the prizes that are available</w:t>
            </w:r>
            <w:r w:rsidR="001E46C2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563868">
              <w:rPr>
                <w:rFonts w:ascii="Calibri" w:hAnsi="Calibri" w:cs="Arial"/>
                <w:sz w:val="22"/>
                <w:szCs w:val="22"/>
              </w:rPr>
              <w:t>The Terms and Conditions are available on re</w:t>
            </w:r>
            <w:r w:rsidR="001E46C2">
              <w:rPr>
                <w:rFonts w:ascii="Calibri" w:hAnsi="Calibri" w:cs="Arial"/>
                <w:sz w:val="22"/>
                <w:szCs w:val="22"/>
              </w:rPr>
              <w:t>quest and on our w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ebsite  </w:t>
            </w:r>
            <w:hyperlink r:id="rId9" w:history="1">
              <w:r w:rsidRPr="00563868">
                <w:rPr>
                  <w:rStyle w:val="Hyperlink"/>
                  <w:rFonts w:ascii="Calibri" w:hAnsi="Calibri" w:cs="Arial"/>
                  <w:sz w:val="22"/>
                  <w:szCs w:val="22"/>
                </w:rPr>
                <w:t>www.stbarnabashospice.co.uk</w:t>
              </w:r>
            </w:hyperlink>
            <w:r w:rsidRPr="0056386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FA62A0" w:rsidRDefault="00FA62A0" w:rsidP="00FA62A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>The rules are fair.</w:t>
            </w:r>
          </w:p>
          <w:p w:rsidR="001E46C2" w:rsidRPr="00563868" w:rsidRDefault="001E46C2" w:rsidP="00FA62A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Each </w:t>
            </w:r>
            <w:r w:rsidR="00861F2A">
              <w:rPr>
                <w:rFonts w:ascii="Calibri" w:hAnsi="Calibri" w:cs="Arial"/>
                <w:sz w:val="22"/>
                <w:szCs w:val="22"/>
              </w:rPr>
              <w:t xml:space="preserve">Lottery </w:t>
            </w:r>
            <w:r>
              <w:rPr>
                <w:rFonts w:ascii="Calibri" w:hAnsi="Calibri" w:cs="Arial"/>
                <w:sz w:val="22"/>
                <w:szCs w:val="22"/>
              </w:rPr>
              <w:t xml:space="preserve">number eligible to be entered into a draw has an equal 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chance of winning.  </w:t>
            </w:r>
          </w:p>
          <w:p w:rsidR="00FA62A0" w:rsidRPr="00563868" w:rsidRDefault="00FA62A0" w:rsidP="00FA62A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>Any advertising and promotional material is clear and not misleading.</w:t>
            </w:r>
          </w:p>
          <w:p w:rsidR="00FA62A0" w:rsidRDefault="00FA62A0" w:rsidP="00FA62A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>The results are made public.</w:t>
            </w:r>
          </w:p>
          <w:p w:rsidR="007F2942" w:rsidRPr="00563868" w:rsidRDefault="007F2942" w:rsidP="00FA62A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percentage of annual pro</w:t>
            </w:r>
            <w:r w:rsidR="00D24A6E">
              <w:rPr>
                <w:rFonts w:ascii="Calibri" w:hAnsi="Calibri" w:cs="Arial"/>
                <w:sz w:val="22"/>
                <w:szCs w:val="22"/>
              </w:rPr>
              <w:t>ceeds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passed to St Barnabas Hospice Trust is posted on the Hospice website.</w:t>
            </w:r>
          </w:p>
          <w:p w:rsidR="00FA62A0" w:rsidRPr="007F2942" w:rsidRDefault="00FA62A0" w:rsidP="00FA62A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F2942">
              <w:rPr>
                <w:rFonts w:ascii="Calibri" w:hAnsi="Calibri" w:cs="Arial"/>
                <w:sz w:val="22"/>
                <w:szCs w:val="22"/>
              </w:rPr>
              <w:t xml:space="preserve">A complaints procedure is in place including an independent arbitration service. </w:t>
            </w:r>
          </w:p>
          <w:p w:rsidR="00FA62A0" w:rsidRDefault="00FA62A0" w:rsidP="00B6529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E7B35" w:rsidRDefault="00AE7B35">
      <w:pPr>
        <w:jc w:val="both"/>
        <w:rPr>
          <w:rFonts w:ascii="Calibri" w:hAnsi="Calibri" w:cs="Arial"/>
          <w:sz w:val="22"/>
          <w:szCs w:val="22"/>
        </w:rPr>
      </w:pPr>
    </w:p>
    <w:p w:rsidR="00046BFA" w:rsidRPr="00563868" w:rsidRDefault="00046BFA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4"/>
      </w:tblGrid>
      <w:tr w:rsidR="00FA62A0" w:rsidTr="00FA62A0">
        <w:tc>
          <w:tcPr>
            <w:tcW w:w="9184" w:type="dxa"/>
          </w:tcPr>
          <w:p w:rsidR="00FA62A0" w:rsidRPr="00563868" w:rsidRDefault="00FA62A0" w:rsidP="00FA62A0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3. </w:t>
            </w:r>
            <w:r w:rsidRPr="00563868">
              <w:rPr>
                <w:rFonts w:ascii="Calibri" w:hAnsi="Calibri" w:cs="Arial"/>
                <w:b/>
                <w:sz w:val="22"/>
                <w:szCs w:val="22"/>
              </w:rPr>
              <w:t>Protecting children and other vulnerable persons from being harmed or exploited by gambling.</w:t>
            </w:r>
          </w:p>
          <w:p w:rsidR="00FA62A0" w:rsidRDefault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62A0" w:rsidTr="00FA62A0">
        <w:tc>
          <w:tcPr>
            <w:tcW w:w="9184" w:type="dxa"/>
          </w:tcPr>
          <w:p w:rsidR="00FA62A0" w:rsidRPr="00563868" w:rsidRDefault="00FA62A0" w:rsidP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>We will use our best endeavours to address the following issues:</w:t>
            </w:r>
          </w:p>
          <w:p w:rsidR="00FA62A0" w:rsidRPr="00563868" w:rsidRDefault="00FA62A0" w:rsidP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A62A0" w:rsidRPr="00563868" w:rsidRDefault="00FA62A0" w:rsidP="00FA62A0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b/>
                <w:sz w:val="22"/>
                <w:szCs w:val="22"/>
              </w:rPr>
              <w:t>Under Age Gambling</w:t>
            </w:r>
            <w:r w:rsidRPr="00563868">
              <w:rPr>
                <w:rFonts w:ascii="Calibri" w:hAnsi="Calibri" w:cs="Arial"/>
                <w:sz w:val="22"/>
                <w:szCs w:val="22"/>
              </w:rPr>
              <w:t>.  It is illegal for ind</w:t>
            </w:r>
            <w:r w:rsidR="008E45DE">
              <w:rPr>
                <w:rFonts w:ascii="Calibri" w:hAnsi="Calibri" w:cs="Arial"/>
                <w:sz w:val="22"/>
                <w:szCs w:val="22"/>
              </w:rPr>
              <w:t xml:space="preserve">ividuals under the age of 16 to 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enter into a lottery. </w:t>
            </w:r>
            <w:r w:rsidR="00A2237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63868">
              <w:rPr>
                <w:rFonts w:ascii="Calibri" w:hAnsi="Calibri" w:cs="Arial"/>
                <w:sz w:val="22"/>
                <w:szCs w:val="22"/>
              </w:rPr>
              <w:t>We</w:t>
            </w:r>
            <w:r w:rsidR="00D24A6E">
              <w:rPr>
                <w:rFonts w:ascii="Calibri" w:hAnsi="Calibri" w:cs="Arial"/>
                <w:sz w:val="22"/>
                <w:szCs w:val="22"/>
              </w:rPr>
              <w:t xml:space="preserve"> obtain affirmation of age from players as they join and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 reserve the right to ask for proof of age from any </w:t>
            </w:r>
            <w:r w:rsidR="007F2942">
              <w:rPr>
                <w:rFonts w:ascii="Calibri" w:hAnsi="Calibri" w:cs="Arial"/>
                <w:sz w:val="22"/>
                <w:szCs w:val="22"/>
              </w:rPr>
              <w:t>player</w:t>
            </w:r>
            <w:r w:rsidR="00D24A6E">
              <w:rPr>
                <w:rFonts w:ascii="Calibri" w:hAnsi="Calibri" w:cs="Arial"/>
                <w:sz w:val="22"/>
                <w:szCs w:val="22"/>
              </w:rPr>
              <w:t xml:space="preserve"> at any time.  A</w:t>
            </w:r>
            <w:r w:rsidR="007F2942">
              <w:rPr>
                <w:rFonts w:ascii="Calibri" w:hAnsi="Calibri" w:cs="Arial"/>
                <w:sz w:val="22"/>
                <w:szCs w:val="22"/>
              </w:rPr>
              <w:t xml:space="preserve"> player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's membership may be suspended until satisfactory </w:t>
            </w:r>
            <w:r w:rsidR="0054679E">
              <w:rPr>
                <w:rFonts w:ascii="Calibri" w:hAnsi="Calibri" w:cs="Arial"/>
                <w:sz w:val="22"/>
                <w:szCs w:val="22"/>
              </w:rPr>
              <w:t xml:space="preserve">proof of age is provided. If, </w:t>
            </w:r>
            <w:r w:rsidRPr="00563868">
              <w:rPr>
                <w:rFonts w:ascii="Calibri" w:hAnsi="Calibri" w:cs="Arial"/>
                <w:sz w:val="22"/>
                <w:szCs w:val="22"/>
              </w:rPr>
              <w:t>upon winning, for whatever reason any individual is unable to prove that they are 16 or over then any winnings will be forfeited.</w:t>
            </w:r>
          </w:p>
          <w:p w:rsidR="00FA62A0" w:rsidRPr="00563868" w:rsidRDefault="00FA62A0" w:rsidP="00FA62A0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b/>
                <w:sz w:val="22"/>
                <w:szCs w:val="22"/>
              </w:rPr>
              <w:t>Gambling Limits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.  </w:t>
            </w:r>
            <w:r w:rsidR="00F87E9E">
              <w:rPr>
                <w:rFonts w:ascii="Calibri" w:hAnsi="Calibri" w:cs="Arial"/>
                <w:sz w:val="22"/>
                <w:szCs w:val="22"/>
              </w:rPr>
              <w:t xml:space="preserve">We 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impose limits on the value of entries into a </w:t>
            </w:r>
            <w:r w:rsidR="00D24A6E">
              <w:rPr>
                <w:rFonts w:ascii="Calibri" w:hAnsi="Calibri" w:cs="Arial"/>
                <w:sz w:val="22"/>
                <w:szCs w:val="22"/>
              </w:rPr>
              <w:t>L</w:t>
            </w:r>
            <w:r w:rsidRPr="00563868">
              <w:rPr>
                <w:rFonts w:ascii="Calibri" w:hAnsi="Calibri" w:cs="Arial"/>
                <w:sz w:val="22"/>
                <w:szCs w:val="22"/>
              </w:rPr>
              <w:t>ottery that can b</w:t>
            </w:r>
            <w:r w:rsidR="00F87E9E">
              <w:rPr>
                <w:rFonts w:ascii="Calibri" w:hAnsi="Calibri" w:cs="Arial"/>
                <w:sz w:val="22"/>
                <w:szCs w:val="22"/>
              </w:rPr>
              <w:t>e purchased by an individual. (S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ee </w:t>
            </w:r>
            <w:r w:rsidR="00F87E9E">
              <w:rPr>
                <w:rFonts w:ascii="Calibri" w:hAnsi="Calibri" w:cs="Arial"/>
                <w:sz w:val="22"/>
                <w:szCs w:val="22"/>
              </w:rPr>
              <w:t xml:space="preserve">section 1. </w:t>
            </w:r>
            <w:r w:rsidRPr="00563868">
              <w:rPr>
                <w:rFonts w:ascii="Calibri" w:hAnsi="Calibri" w:cs="Arial"/>
                <w:sz w:val="22"/>
                <w:szCs w:val="22"/>
              </w:rPr>
              <w:t>Prevention of gambling being a source of crime or disorder)</w:t>
            </w:r>
          </w:p>
          <w:p w:rsidR="00FA62A0" w:rsidRPr="00563868" w:rsidRDefault="00FA62A0" w:rsidP="00FA62A0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b/>
                <w:sz w:val="22"/>
                <w:szCs w:val="22"/>
              </w:rPr>
              <w:t>Self</w:t>
            </w:r>
            <w:r w:rsidR="00771296">
              <w:rPr>
                <w:rFonts w:ascii="Calibri" w:hAnsi="Calibri" w:cs="Arial"/>
                <w:b/>
                <w:sz w:val="22"/>
                <w:szCs w:val="22"/>
              </w:rPr>
              <w:t>-e</w:t>
            </w:r>
            <w:r w:rsidRPr="00563868">
              <w:rPr>
                <w:rFonts w:ascii="Calibri" w:hAnsi="Calibri" w:cs="Arial"/>
                <w:b/>
                <w:sz w:val="22"/>
                <w:szCs w:val="22"/>
              </w:rPr>
              <w:t>xclusion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.  On request, we will close any player’s </w:t>
            </w:r>
            <w:r w:rsidR="00D24A6E">
              <w:rPr>
                <w:rFonts w:ascii="Calibri" w:hAnsi="Calibri" w:cs="Arial"/>
                <w:sz w:val="22"/>
                <w:szCs w:val="22"/>
              </w:rPr>
              <w:t>L</w:t>
            </w:r>
            <w:r w:rsidRPr="00563868">
              <w:rPr>
                <w:rFonts w:ascii="Calibri" w:hAnsi="Calibri" w:cs="Arial"/>
                <w:sz w:val="22"/>
                <w:szCs w:val="22"/>
              </w:rPr>
              <w:t>ottery membership</w:t>
            </w:r>
            <w:r w:rsidR="007712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63868">
              <w:rPr>
                <w:rFonts w:ascii="Calibri" w:hAnsi="Calibri" w:cs="Arial"/>
                <w:sz w:val="22"/>
                <w:szCs w:val="22"/>
              </w:rPr>
              <w:t>for a minimum period of six months during which time the membership cannot be reinstated.  During this period we will also try to ensure that the individual does not set up a new membership.</w:t>
            </w:r>
          </w:p>
          <w:p w:rsidR="00FA62A0" w:rsidRPr="00563868" w:rsidRDefault="00F87E9E" w:rsidP="00FA62A0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87E9E">
              <w:rPr>
                <w:rFonts w:ascii="Calibri" w:hAnsi="Calibri" w:cs="Arial"/>
                <w:b/>
                <w:sz w:val="22"/>
                <w:szCs w:val="22"/>
              </w:rPr>
              <w:t>Reporting.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FA62A0" w:rsidRPr="00563868">
              <w:rPr>
                <w:rFonts w:ascii="Calibri" w:hAnsi="Calibri" w:cs="Arial"/>
                <w:sz w:val="22"/>
                <w:szCs w:val="22"/>
              </w:rPr>
              <w:t>All attempted breaches of underage gambling and self-exclusions will be recorded and reported as required.</w:t>
            </w:r>
          </w:p>
          <w:p w:rsidR="00FA62A0" w:rsidRPr="00563868" w:rsidRDefault="00FA62A0" w:rsidP="00FA62A0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b/>
                <w:sz w:val="22"/>
                <w:szCs w:val="22"/>
              </w:rPr>
              <w:t>Access to Player History</w:t>
            </w:r>
            <w:r w:rsidRPr="00563868">
              <w:rPr>
                <w:rFonts w:ascii="Calibri" w:hAnsi="Calibri" w:cs="Arial"/>
                <w:sz w:val="22"/>
                <w:szCs w:val="22"/>
              </w:rPr>
              <w:t>.  On request we will provide any player with a full history of their lottery membership including complete</w:t>
            </w:r>
            <w:r w:rsidR="0054679E">
              <w:rPr>
                <w:rFonts w:ascii="Calibri" w:hAnsi="Calibri" w:cs="Arial"/>
                <w:sz w:val="22"/>
                <w:szCs w:val="22"/>
              </w:rPr>
              <w:t xml:space="preserve"> payment and winnings history.</w:t>
            </w:r>
          </w:p>
          <w:p w:rsidR="00FA62A0" w:rsidRPr="00563868" w:rsidRDefault="00FA62A0" w:rsidP="00FA62A0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b/>
                <w:sz w:val="22"/>
                <w:szCs w:val="22"/>
              </w:rPr>
              <w:t>Staff Training.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  All </w:t>
            </w:r>
            <w:r w:rsidR="0054679E">
              <w:rPr>
                <w:rFonts w:ascii="Calibri" w:hAnsi="Calibri" w:cs="Arial"/>
                <w:sz w:val="22"/>
                <w:szCs w:val="22"/>
              </w:rPr>
              <w:t xml:space="preserve">persons connected to the recruitment of players and sales of our lottery products 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are awareness trained on </w:t>
            </w:r>
            <w:r w:rsidR="0054679E">
              <w:rPr>
                <w:rFonts w:ascii="Calibri" w:hAnsi="Calibri" w:cs="Arial"/>
                <w:sz w:val="22"/>
                <w:szCs w:val="22"/>
              </w:rPr>
              <w:t xml:space="preserve">this 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Social Responsibility Policy and </w:t>
            </w:r>
            <w:r w:rsidR="00D24A6E">
              <w:rPr>
                <w:rFonts w:ascii="Calibri" w:hAnsi="Calibri" w:cs="Arial"/>
                <w:sz w:val="22"/>
                <w:szCs w:val="22"/>
              </w:rPr>
              <w:t xml:space="preserve">the relevant areas of the </w:t>
            </w:r>
            <w:r w:rsidRPr="00563868">
              <w:rPr>
                <w:rFonts w:ascii="Calibri" w:hAnsi="Calibri" w:cs="Arial"/>
                <w:sz w:val="22"/>
                <w:szCs w:val="22"/>
              </w:rPr>
              <w:t>Licence Codes</w:t>
            </w:r>
            <w:r w:rsidR="00D24A6E">
              <w:rPr>
                <w:rFonts w:ascii="Calibri" w:hAnsi="Calibri" w:cs="Arial"/>
                <w:sz w:val="22"/>
                <w:szCs w:val="22"/>
              </w:rPr>
              <w:t xml:space="preserve"> and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 Conditions </w:t>
            </w:r>
            <w:r w:rsidR="00D24A6E"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Practice.  </w:t>
            </w:r>
          </w:p>
          <w:p w:rsidR="00FA62A0" w:rsidRDefault="00FA62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E7B35" w:rsidRDefault="00AE7B35">
      <w:pPr>
        <w:jc w:val="both"/>
        <w:rPr>
          <w:rFonts w:ascii="Calibri" w:hAnsi="Calibri" w:cs="Arial"/>
          <w:b/>
          <w:sz w:val="22"/>
          <w:szCs w:val="22"/>
        </w:rPr>
      </w:pPr>
      <w:r w:rsidRPr="00563868">
        <w:rPr>
          <w:rFonts w:ascii="Calibri" w:hAnsi="Calibri" w:cs="Arial"/>
          <w:b/>
          <w:sz w:val="22"/>
          <w:szCs w:val="22"/>
        </w:rPr>
        <w:tab/>
      </w:r>
    </w:p>
    <w:p w:rsidR="00046BFA" w:rsidRPr="00563868" w:rsidRDefault="00046BFA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4"/>
      </w:tblGrid>
      <w:tr w:rsidR="00046BFA" w:rsidTr="00046BFA">
        <w:tc>
          <w:tcPr>
            <w:tcW w:w="9184" w:type="dxa"/>
          </w:tcPr>
          <w:p w:rsidR="00046BFA" w:rsidRPr="00563868" w:rsidRDefault="00046BFA" w:rsidP="00046BFA">
            <w:pPr>
              <w:numPr>
                <w:ilvl w:val="12"/>
                <w:numId w:val="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63868">
              <w:rPr>
                <w:rFonts w:ascii="Calibri" w:hAnsi="Calibri" w:cs="Arial"/>
                <w:b/>
                <w:sz w:val="22"/>
                <w:szCs w:val="22"/>
              </w:rPr>
              <w:t>Self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-h</w:t>
            </w:r>
            <w:r w:rsidRPr="00563868">
              <w:rPr>
                <w:rFonts w:ascii="Calibri" w:hAnsi="Calibri" w:cs="Arial"/>
                <w:b/>
                <w:sz w:val="22"/>
                <w:szCs w:val="22"/>
              </w:rPr>
              <w:t>elp and Gambling Support Organisations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:rsidR="00046BFA" w:rsidRDefault="00046BFA">
            <w:pPr>
              <w:numPr>
                <w:ilvl w:val="12"/>
                <w:numId w:val="0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46BFA" w:rsidTr="00872F9B">
        <w:trPr>
          <w:trHeight w:val="1828"/>
        </w:trPr>
        <w:tc>
          <w:tcPr>
            <w:tcW w:w="9184" w:type="dxa"/>
          </w:tcPr>
          <w:p w:rsidR="00046BFA" w:rsidRPr="00563868" w:rsidRDefault="00046BFA" w:rsidP="00872F9B">
            <w:pPr>
              <w:numPr>
                <w:ilvl w:val="12"/>
                <w:numId w:val="0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63868">
              <w:rPr>
                <w:rFonts w:ascii="Calibri" w:hAnsi="Calibri" w:cs="Arial"/>
                <w:sz w:val="22"/>
                <w:szCs w:val="22"/>
              </w:rPr>
              <w:t xml:space="preserve">Our commitment to our potential and existing </w:t>
            </w:r>
            <w:r>
              <w:rPr>
                <w:rFonts w:ascii="Calibri" w:hAnsi="Calibri" w:cs="Arial"/>
                <w:sz w:val="22"/>
                <w:szCs w:val="22"/>
              </w:rPr>
              <w:t xml:space="preserve">players </w:t>
            </w:r>
            <w:r w:rsidRPr="00563868">
              <w:rPr>
                <w:rFonts w:ascii="Calibri" w:hAnsi="Calibri" w:cs="Arial"/>
                <w:sz w:val="22"/>
                <w:szCs w:val="22"/>
              </w:rPr>
              <w:t>is to actively encourage responsible gambling. We will provide self</w:t>
            </w:r>
            <w:r>
              <w:rPr>
                <w:rFonts w:ascii="Calibri" w:hAnsi="Calibri" w:cs="Arial"/>
                <w:sz w:val="22"/>
                <w:szCs w:val="22"/>
              </w:rPr>
              <w:t>-h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elp and awareness information on our </w:t>
            </w:r>
            <w:r>
              <w:rPr>
                <w:rFonts w:ascii="Calibri" w:hAnsi="Calibri" w:cs="Arial"/>
                <w:sz w:val="22"/>
                <w:szCs w:val="22"/>
              </w:rPr>
              <w:t>L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ottery website pages and other appropriate media, </w:t>
            </w:r>
            <w:r w:rsidR="00872F9B">
              <w:rPr>
                <w:rFonts w:ascii="Calibri" w:hAnsi="Calibri" w:cs="Arial"/>
                <w:sz w:val="22"/>
                <w:szCs w:val="22"/>
              </w:rPr>
              <w:t>an</w:t>
            </w:r>
            <w:r w:rsidRPr="00563868">
              <w:rPr>
                <w:rFonts w:ascii="Calibri" w:hAnsi="Calibri" w:cs="Arial"/>
                <w:sz w:val="22"/>
                <w:szCs w:val="22"/>
              </w:rPr>
              <w:t>d/or contact details for</w:t>
            </w:r>
            <w:r w:rsidR="00872F9B">
              <w:rPr>
                <w:rFonts w:ascii="Calibri" w:hAnsi="Calibri" w:cs="Arial"/>
                <w:sz w:val="22"/>
                <w:szCs w:val="22"/>
              </w:rPr>
              <w:t xml:space="preserve"> organisations providing assistance; </w:t>
            </w:r>
            <w:r>
              <w:rPr>
                <w:rFonts w:ascii="Calibri" w:hAnsi="Calibri" w:cs="Arial"/>
                <w:sz w:val="22"/>
                <w:szCs w:val="22"/>
              </w:rPr>
              <w:t xml:space="preserve">Be 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Gamble Aware and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GamCare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 T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hrough our membership of the Hospice Lotteries Association and The Lotteries Council we </w:t>
            </w:r>
            <w:r>
              <w:rPr>
                <w:rFonts w:ascii="Calibri" w:hAnsi="Calibri" w:cs="Arial"/>
                <w:sz w:val="22"/>
                <w:szCs w:val="22"/>
              </w:rPr>
              <w:t>make a financial contribution towards these gambling related charities</w:t>
            </w:r>
            <w:r w:rsidRPr="00563868">
              <w:rPr>
                <w:rFonts w:ascii="Calibri" w:hAnsi="Calibri" w:cs="Arial"/>
                <w:sz w:val="22"/>
                <w:szCs w:val="22"/>
              </w:rPr>
              <w:t xml:space="preserve"> to support research, education an</w:t>
            </w:r>
            <w:r w:rsidR="00872F9B">
              <w:rPr>
                <w:rFonts w:ascii="Calibri" w:hAnsi="Calibri" w:cs="Arial"/>
                <w:sz w:val="22"/>
                <w:szCs w:val="22"/>
              </w:rPr>
              <w:t>d treatment of problem gambling.</w:t>
            </w:r>
          </w:p>
        </w:tc>
      </w:tr>
    </w:tbl>
    <w:p w:rsidR="00563868" w:rsidRPr="00563868" w:rsidRDefault="00563868" w:rsidP="00046BFA">
      <w:pPr>
        <w:numPr>
          <w:ilvl w:val="12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sectPr w:rsidR="00563868" w:rsidRPr="00563868" w:rsidSect="00D63BBF">
      <w:headerReference w:type="default" r:id="rId10"/>
      <w:footerReference w:type="default" r:id="rId11"/>
      <w:headerReference w:type="first" r:id="rId12"/>
      <w:footerReference w:type="first" r:id="rId13"/>
      <w:pgSz w:w="11899" w:h="16837"/>
      <w:pgMar w:top="993" w:right="1797" w:bottom="568" w:left="1134" w:header="17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B5" w:rsidRDefault="00E215B5">
      <w:r>
        <w:separator/>
      </w:r>
    </w:p>
  </w:endnote>
  <w:endnote w:type="continuationSeparator" w:id="0">
    <w:p w:rsidR="00E215B5" w:rsidRDefault="00E2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B5" w:rsidRPr="00D63BBF" w:rsidRDefault="00D63BBF">
    <w:pPr>
      <w:tabs>
        <w:tab w:val="center" w:pos="4320"/>
        <w:tab w:val="right" w:pos="8640"/>
      </w:tabs>
      <w:rPr>
        <w:rFonts w:ascii="Calibri" w:hAnsi="Calibri"/>
        <w:kern w:val="0"/>
        <w:sz w:val="22"/>
        <w:szCs w:val="22"/>
      </w:rPr>
    </w:pPr>
    <w:r w:rsidRPr="00D63BBF">
      <w:rPr>
        <w:rFonts w:ascii="Calibri" w:hAnsi="Calibri"/>
        <w:kern w:val="0"/>
        <w:sz w:val="22"/>
        <w:szCs w:val="22"/>
      </w:rPr>
      <w:t>St Barnabas Promotions</w:t>
    </w:r>
    <w:r w:rsidRPr="00D63BBF">
      <w:rPr>
        <w:rFonts w:ascii="Calibri" w:hAnsi="Calibri"/>
        <w:kern w:val="0"/>
        <w:sz w:val="22"/>
        <w:szCs w:val="22"/>
      </w:rPr>
      <w:ptab w:relativeTo="margin" w:alignment="center" w:leader="none"/>
    </w:r>
    <w:r w:rsidRPr="00D63BBF">
      <w:rPr>
        <w:rFonts w:ascii="Calibri" w:hAnsi="Calibri"/>
        <w:kern w:val="0"/>
        <w:sz w:val="22"/>
        <w:szCs w:val="22"/>
      </w:rPr>
      <w:t xml:space="preserve">Page </w:t>
    </w:r>
    <w:r w:rsidRPr="00D63BBF">
      <w:rPr>
        <w:rFonts w:ascii="Calibri" w:hAnsi="Calibri"/>
        <w:b/>
        <w:kern w:val="0"/>
        <w:sz w:val="22"/>
        <w:szCs w:val="22"/>
      </w:rPr>
      <w:fldChar w:fldCharType="begin"/>
    </w:r>
    <w:r w:rsidRPr="00D63BBF">
      <w:rPr>
        <w:rFonts w:ascii="Calibri" w:hAnsi="Calibri"/>
        <w:b/>
        <w:kern w:val="0"/>
        <w:sz w:val="22"/>
        <w:szCs w:val="22"/>
      </w:rPr>
      <w:instrText xml:space="preserve"> PAGE  \* Arabic  \* MERGEFORMAT </w:instrText>
    </w:r>
    <w:r w:rsidRPr="00D63BBF">
      <w:rPr>
        <w:rFonts w:ascii="Calibri" w:hAnsi="Calibri"/>
        <w:b/>
        <w:kern w:val="0"/>
        <w:sz w:val="22"/>
        <w:szCs w:val="22"/>
      </w:rPr>
      <w:fldChar w:fldCharType="separate"/>
    </w:r>
    <w:r w:rsidR="0061060E">
      <w:rPr>
        <w:rFonts w:ascii="Calibri" w:hAnsi="Calibri"/>
        <w:b/>
        <w:noProof/>
        <w:kern w:val="0"/>
        <w:sz w:val="22"/>
        <w:szCs w:val="22"/>
      </w:rPr>
      <w:t>1</w:t>
    </w:r>
    <w:r w:rsidRPr="00D63BBF">
      <w:rPr>
        <w:rFonts w:ascii="Calibri" w:hAnsi="Calibri"/>
        <w:b/>
        <w:kern w:val="0"/>
        <w:sz w:val="22"/>
        <w:szCs w:val="22"/>
      </w:rPr>
      <w:fldChar w:fldCharType="end"/>
    </w:r>
    <w:r w:rsidRPr="00D63BBF">
      <w:rPr>
        <w:rFonts w:ascii="Calibri" w:hAnsi="Calibri"/>
        <w:kern w:val="0"/>
        <w:sz w:val="22"/>
        <w:szCs w:val="22"/>
      </w:rPr>
      <w:t xml:space="preserve"> of </w:t>
    </w:r>
    <w:r w:rsidRPr="00D63BBF">
      <w:rPr>
        <w:rFonts w:ascii="Calibri" w:hAnsi="Calibri"/>
        <w:b/>
        <w:kern w:val="0"/>
        <w:sz w:val="22"/>
        <w:szCs w:val="22"/>
      </w:rPr>
      <w:fldChar w:fldCharType="begin"/>
    </w:r>
    <w:r w:rsidRPr="00D63BBF">
      <w:rPr>
        <w:rFonts w:ascii="Calibri" w:hAnsi="Calibri"/>
        <w:b/>
        <w:kern w:val="0"/>
        <w:sz w:val="22"/>
        <w:szCs w:val="22"/>
      </w:rPr>
      <w:instrText xml:space="preserve"> NUMPAGES  \* Arabic  \* MERGEFORMAT </w:instrText>
    </w:r>
    <w:r w:rsidRPr="00D63BBF">
      <w:rPr>
        <w:rFonts w:ascii="Calibri" w:hAnsi="Calibri"/>
        <w:b/>
        <w:kern w:val="0"/>
        <w:sz w:val="22"/>
        <w:szCs w:val="22"/>
      </w:rPr>
      <w:fldChar w:fldCharType="separate"/>
    </w:r>
    <w:r w:rsidR="0061060E">
      <w:rPr>
        <w:rFonts w:ascii="Calibri" w:hAnsi="Calibri"/>
        <w:b/>
        <w:noProof/>
        <w:kern w:val="0"/>
        <w:sz w:val="22"/>
        <w:szCs w:val="22"/>
      </w:rPr>
      <w:t>2</w:t>
    </w:r>
    <w:r w:rsidRPr="00D63BBF">
      <w:rPr>
        <w:rFonts w:ascii="Calibri" w:hAnsi="Calibri"/>
        <w:b/>
        <w:kern w:val="0"/>
        <w:sz w:val="22"/>
        <w:szCs w:val="22"/>
      </w:rPr>
      <w:fldChar w:fldCharType="end"/>
    </w:r>
    <w:r w:rsidRPr="00D63BBF">
      <w:rPr>
        <w:rFonts w:ascii="Calibri" w:hAnsi="Calibri"/>
        <w:kern w:val="0"/>
        <w:sz w:val="22"/>
        <w:szCs w:val="22"/>
      </w:rPr>
      <w:ptab w:relativeTo="margin" w:alignment="right" w:leader="none"/>
    </w:r>
    <w:r w:rsidRPr="00D63BBF">
      <w:rPr>
        <w:rFonts w:ascii="Calibri" w:hAnsi="Calibri"/>
        <w:kern w:val="0"/>
        <w:sz w:val="22"/>
        <w:szCs w:val="22"/>
      </w:rPr>
      <w:t>version 2</w:t>
    </w:r>
    <w:r w:rsidR="002B265B">
      <w:rPr>
        <w:rFonts w:ascii="Calibri" w:hAnsi="Calibri"/>
        <w:kern w:val="0"/>
        <w:sz w:val="22"/>
        <w:szCs w:val="22"/>
      </w:rPr>
      <w:t>.1 September</w:t>
    </w:r>
    <w:r w:rsidRPr="00D63BBF">
      <w:rPr>
        <w:rFonts w:ascii="Calibri" w:hAnsi="Calibri"/>
        <w:kern w:val="0"/>
        <w:sz w:val="22"/>
        <w:szCs w:val="22"/>
      </w:rPr>
      <w:t xml:space="preserve">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FA" w:rsidRDefault="0061060E">
    <w:pPr>
      <w:pStyle w:val="Footer"/>
    </w:pPr>
    <w:sdt>
      <w:sdtPr>
        <w:id w:val="969400743"/>
        <w:placeholder>
          <w:docPart w:val="7351ACF4B8F941CE8BA1E08AADBA798D"/>
        </w:placeholder>
        <w:temporary/>
        <w:showingPlcHdr/>
      </w:sdtPr>
      <w:sdtEndPr/>
      <w:sdtContent>
        <w:r w:rsidR="00D63BBF">
          <w:t>[Type text]</w:t>
        </w:r>
      </w:sdtContent>
    </w:sdt>
    <w:r w:rsidR="00D63BBF">
      <w:ptab w:relativeTo="margin" w:alignment="center" w:leader="none"/>
    </w:r>
    <w:sdt>
      <w:sdtPr>
        <w:id w:val="969400748"/>
        <w:placeholder>
          <w:docPart w:val="7351ACF4B8F941CE8BA1E08AADBA798D"/>
        </w:placeholder>
        <w:temporary/>
        <w:showingPlcHdr/>
      </w:sdtPr>
      <w:sdtEndPr/>
      <w:sdtContent>
        <w:r w:rsidR="00D63BBF">
          <w:t>[Type text]</w:t>
        </w:r>
      </w:sdtContent>
    </w:sdt>
    <w:r w:rsidR="00D63BBF">
      <w:ptab w:relativeTo="margin" w:alignment="right" w:leader="none"/>
    </w:r>
    <w:sdt>
      <w:sdtPr>
        <w:id w:val="969400753"/>
        <w:placeholder>
          <w:docPart w:val="7351ACF4B8F941CE8BA1E08AADBA798D"/>
        </w:placeholder>
        <w:temporary/>
        <w:showingPlcHdr/>
      </w:sdtPr>
      <w:sdtEndPr/>
      <w:sdtContent>
        <w:r w:rsidR="00D63BBF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B5" w:rsidRDefault="00E215B5">
      <w:r>
        <w:separator/>
      </w:r>
    </w:p>
  </w:footnote>
  <w:footnote w:type="continuationSeparator" w:id="0">
    <w:p w:rsidR="00E215B5" w:rsidRDefault="00E21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FA" w:rsidRDefault="001D1942" w:rsidP="001D1942">
    <w:pPr>
      <w:pStyle w:val="Header"/>
      <w:tabs>
        <w:tab w:val="clear" w:pos="8306"/>
        <w:tab w:val="right" w:pos="8305"/>
      </w:tabs>
      <w:ind w:left="-142"/>
    </w:pPr>
    <w:r>
      <w:rPr>
        <w:noProof/>
      </w:rPr>
      <w:drawing>
        <wp:inline distT="0" distB="0" distL="0" distR="0" wp14:anchorId="76927CF6" wp14:editId="6CD0E60C">
          <wp:extent cx="1104900" cy="4954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330" cy="500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15B5" w:rsidRDefault="00D9440E" w:rsidP="00E215B5">
    <w:pPr>
      <w:pStyle w:val="Header"/>
      <w:tabs>
        <w:tab w:val="clear" w:pos="8306"/>
        <w:tab w:val="right" w:pos="8305"/>
      </w:tabs>
      <w:ind w:left="-709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8B" w:rsidRDefault="00D9440E" w:rsidP="00D9440E">
    <w:pPr>
      <w:pStyle w:val="Header"/>
      <w:tabs>
        <w:tab w:val="clear" w:pos="8306"/>
        <w:tab w:val="right" w:pos="8789"/>
      </w:tabs>
      <w:ind w:left="-709"/>
    </w:pPr>
    <w:r>
      <w:tab/>
    </w:r>
    <w:r>
      <w:tab/>
    </w:r>
  </w:p>
  <w:p w:rsidR="00D9440E" w:rsidRDefault="00563868" w:rsidP="00563868">
    <w:pPr>
      <w:pStyle w:val="Header"/>
      <w:tabs>
        <w:tab w:val="clear" w:pos="8306"/>
        <w:tab w:val="right" w:pos="8789"/>
      </w:tabs>
      <w:ind w:left="-142"/>
      <w:jc w:val="both"/>
    </w:pPr>
    <w:r>
      <w:rPr>
        <w:noProof/>
      </w:rPr>
      <w:drawing>
        <wp:inline distT="0" distB="0" distL="0" distR="0" wp14:anchorId="47AC2251" wp14:editId="31AD6773">
          <wp:extent cx="1350204" cy="601980"/>
          <wp:effectExtent l="0" t="0" r="254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990" cy="602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440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02882C"/>
    <w:lvl w:ilvl="0">
      <w:numFmt w:val="bullet"/>
      <w:lvlText w:val="*"/>
      <w:lvlJc w:val="left"/>
    </w:lvl>
  </w:abstractNum>
  <w:abstractNum w:abstractNumId="1">
    <w:nsid w:val="0C530F33"/>
    <w:multiLevelType w:val="hybridMultilevel"/>
    <w:tmpl w:val="7B0AA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735EA"/>
    <w:multiLevelType w:val="hybridMultilevel"/>
    <w:tmpl w:val="2722B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26AA8"/>
    <w:multiLevelType w:val="hybridMultilevel"/>
    <w:tmpl w:val="09661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C6A"/>
    <w:multiLevelType w:val="hybridMultilevel"/>
    <w:tmpl w:val="9A4822EE"/>
    <w:lvl w:ilvl="0" w:tplc="E610A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0556"/>
    <w:multiLevelType w:val="hybridMultilevel"/>
    <w:tmpl w:val="FE4C6236"/>
    <w:lvl w:ilvl="0" w:tplc="E610AB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9D5039"/>
    <w:multiLevelType w:val="singleLevel"/>
    <w:tmpl w:val="D1125F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875EA"/>
    <w:rsid w:val="00014348"/>
    <w:rsid w:val="00046BFA"/>
    <w:rsid w:val="00060550"/>
    <w:rsid w:val="000C1A95"/>
    <w:rsid w:val="000D20C5"/>
    <w:rsid w:val="001176A2"/>
    <w:rsid w:val="001D1942"/>
    <w:rsid w:val="001E46C2"/>
    <w:rsid w:val="00201584"/>
    <w:rsid w:val="002875EA"/>
    <w:rsid w:val="0029064C"/>
    <w:rsid w:val="002B265B"/>
    <w:rsid w:val="002E152B"/>
    <w:rsid w:val="00315FB6"/>
    <w:rsid w:val="00365DF6"/>
    <w:rsid w:val="00395A6A"/>
    <w:rsid w:val="003B30DF"/>
    <w:rsid w:val="004123F6"/>
    <w:rsid w:val="00455EDA"/>
    <w:rsid w:val="0054679E"/>
    <w:rsid w:val="0055505C"/>
    <w:rsid w:val="00563868"/>
    <w:rsid w:val="00585EA2"/>
    <w:rsid w:val="005D1006"/>
    <w:rsid w:val="005F0509"/>
    <w:rsid w:val="0061060E"/>
    <w:rsid w:val="007655F4"/>
    <w:rsid w:val="00771296"/>
    <w:rsid w:val="007850E8"/>
    <w:rsid w:val="007B1067"/>
    <w:rsid w:val="007F2942"/>
    <w:rsid w:val="00827768"/>
    <w:rsid w:val="00852429"/>
    <w:rsid w:val="00861F2A"/>
    <w:rsid w:val="00872F9B"/>
    <w:rsid w:val="008E45DE"/>
    <w:rsid w:val="008F5D2D"/>
    <w:rsid w:val="009B24D7"/>
    <w:rsid w:val="00A2237E"/>
    <w:rsid w:val="00A258D0"/>
    <w:rsid w:val="00AD1F0C"/>
    <w:rsid w:val="00AE7B35"/>
    <w:rsid w:val="00B05677"/>
    <w:rsid w:val="00B65292"/>
    <w:rsid w:val="00BB1234"/>
    <w:rsid w:val="00BB7C11"/>
    <w:rsid w:val="00C86B5F"/>
    <w:rsid w:val="00D24A6E"/>
    <w:rsid w:val="00D2608B"/>
    <w:rsid w:val="00D63BBF"/>
    <w:rsid w:val="00D6571B"/>
    <w:rsid w:val="00D9440E"/>
    <w:rsid w:val="00E04C9E"/>
    <w:rsid w:val="00E215B5"/>
    <w:rsid w:val="00E7020D"/>
    <w:rsid w:val="00EC07FC"/>
    <w:rsid w:val="00F026B2"/>
    <w:rsid w:val="00F17E17"/>
    <w:rsid w:val="00F85780"/>
    <w:rsid w:val="00F87E9E"/>
    <w:rsid w:val="00FA62A0"/>
    <w:rsid w:val="00FB7A6C"/>
    <w:rsid w:val="00FC4FE7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FF0000"/>
      <w:sz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95A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FE7"/>
    <w:rPr>
      <w:rFonts w:ascii="Tahoma" w:hAnsi="Tahoma" w:cs="Tahoma"/>
      <w:kern w:val="28"/>
      <w:sz w:val="16"/>
      <w:szCs w:val="16"/>
    </w:rPr>
  </w:style>
  <w:style w:type="character" w:customStyle="1" w:styleId="HeaderChar">
    <w:name w:val="Header Char"/>
    <w:link w:val="Header"/>
    <w:uiPriority w:val="99"/>
    <w:rsid w:val="00E215B5"/>
    <w:rPr>
      <w:kern w:val="28"/>
    </w:rPr>
  </w:style>
  <w:style w:type="table" w:styleId="TableGrid">
    <w:name w:val="Table Grid"/>
    <w:basedOn w:val="TableNormal"/>
    <w:uiPriority w:val="59"/>
    <w:rsid w:val="00A2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FF0000"/>
      <w:sz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95A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FE7"/>
    <w:rPr>
      <w:rFonts w:ascii="Tahoma" w:hAnsi="Tahoma" w:cs="Tahoma"/>
      <w:kern w:val="28"/>
      <w:sz w:val="16"/>
      <w:szCs w:val="16"/>
    </w:rPr>
  </w:style>
  <w:style w:type="character" w:customStyle="1" w:styleId="HeaderChar">
    <w:name w:val="Header Char"/>
    <w:link w:val="Header"/>
    <w:uiPriority w:val="99"/>
    <w:rsid w:val="00E215B5"/>
    <w:rPr>
      <w:kern w:val="28"/>
    </w:rPr>
  </w:style>
  <w:style w:type="table" w:styleId="TableGrid">
    <w:name w:val="Table Grid"/>
    <w:basedOn w:val="TableNormal"/>
    <w:uiPriority w:val="59"/>
    <w:rsid w:val="00A2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barnabashospice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51ACF4B8F941CE8BA1E08AADBA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8102-86ED-4F6C-A56B-2259D6B145E1}"/>
      </w:docPartPr>
      <w:docPartBody>
        <w:p w:rsidR="002132B8" w:rsidRDefault="0096129F" w:rsidP="0096129F">
          <w:pPr>
            <w:pStyle w:val="7351ACF4B8F941CE8BA1E08AADBA798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D2"/>
    <w:rsid w:val="000054D2"/>
    <w:rsid w:val="000C5A54"/>
    <w:rsid w:val="002132B8"/>
    <w:rsid w:val="003974D8"/>
    <w:rsid w:val="008035AB"/>
    <w:rsid w:val="0096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BB920747CB4A6F92B3320B40C46357">
    <w:name w:val="32BB920747CB4A6F92B3320B40C46357"/>
    <w:rsid w:val="000054D2"/>
  </w:style>
  <w:style w:type="paragraph" w:customStyle="1" w:styleId="FD1D8160883343038F75B27583A3DFCB">
    <w:name w:val="FD1D8160883343038F75B27583A3DFCB"/>
    <w:rsid w:val="000054D2"/>
  </w:style>
  <w:style w:type="paragraph" w:customStyle="1" w:styleId="B1CF933C43544E4CB96413D76AA83D81">
    <w:name w:val="B1CF933C43544E4CB96413D76AA83D81"/>
    <w:rsid w:val="000054D2"/>
  </w:style>
  <w:style w:type="paragraph" w:customStyle="1" w:styleId="C7C1B8582AA840C9A901AF95FA70278A">
    <w:name w:val="C7C1B8582AA840C9A901AF95FA70278A"/>
    <w:rsid w:val="000054D2"/>
  </w:style>
  <w:style w:type="paragraph" w:customStyle="1" w:styleId="58CC1221268D49C4BE3259194C840EE5">
    <w:name w:val="58CC1221268D49C4BE3259194C840EE5"/>
    <w:rsid w:val="000C5A54"/>
  </w:style>
  <w:style w:type="paragraph" w:customStyle="1" w:styleId="2DA756EE3B304BA6A02990F599F15B20">
    <w:name w:val="2DA756EE3B304BA6A02990F599F15B20"/>
    <w:rsid w:val="0096129F"/>
  </w:style>
  <w:style w:type="paragraph" w:customStyle="1" w:styleId="7351ACF4B8F941CE8BA1E08AADBA798D">
    <w:name w:val="7351ACF4B8F941CE8BA1E08AADBA798D"/>
    <w:rsid w:val="0096129F"/>
  </w:style>
  <w:style w:type="paragraph" w:customStyle="1" w:styleId="AB043228B07D40F4B651584C385D4F40">
    <w:name w:val="AB043228B07D40F4B651584C385D4F40"/>
    <w:rsid w:val="009612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BB920747CB4A6F92B3320B40C46357">
    <w:name w:val="32BB920747CB4A6F92B3320B40C46357"/>
    <w:rsid w:val="000054D2"/>
  </w:style>
  <w:style w:type="paragraph" w:customStyle="1" w:styleId="FD1D8160883343038F75B27583A3DFCB">
    <w:name w:val="FD1D8160883343038F75B27583A3DFCB"/>
    <w:rsid w:val="000054D2"/>
  </w:style>
  <w:style w:type="paragraph" w:customStyle="1" w:styleId="B1CF933C43544E4CB96413D76AA83D81">
    <w:name w:val="B1CF933C43544E4CB96413D76AA83D81"/>
    <w:rsid w:val="000054D2"/>
  </w:style>
  <w:style w:type="paragraph" w:customStyle="1" w:styleId="C7C1B8582AA840C9A901AF95FA70278A">
    <w:name w:val="C7C1B8582AA840C9A901AF95FA70278A"/>
    <w:rsid w:val="000054D2"/>
  </w:style>
  <w:style w:type="paragraph" w:customStyle="1" w:styleId="58CC1221268D49C4BE3259194C840EE5">
    <w:name w:val="58CC1221268D49C4BE3259194C840EE5"/>
    <w:rsid w:val="000C5A54"/>
  </w:style>
  <w:style w:type="paragraph" w:customStyle="1" w:styleId="2DA756EE3B304BA6A02990F599F15B20">
    <w:name w:val="2DA756EE3B304BA6A02990F599F15B20"/>
    <w:rsid w:val="0096129F"/>
  </w:style>
  <w:style w:type="paragraph" w:customStyle="1" w:styleId="7351ACF4B8F941CE8BA1E08AADBA798D">
    <w:name w:val="7351ACF4B8F941CE8BA1E08AADBA798D"/>
    <w:rsid w:val="0096129F"/>
  </w:style>
  <w:style w:type="paragraph" w:customStyle="1" w:styleId="AB043228B07D40F4B651584C385D4F40">
    <w:name w:val="AB043228B07D40F4B651584C385D4F40"/>
    <w:rsid w:val="00961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F3B2-DD17-4002-B24F-AC2C9A1F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Sterling Management Centre Ltd</vt:lpstr>
    </vt:vector>
  </TitlesOfParts>
  <Company>St Barnabas Lincolnshire Hospice</Company>
  <LinksUpToDate>false</LinksUpToDate>
  <CharactersWithSpaces>5355</CharactersWithSpaces>
  <SharedDoc>false</SharedDoc>
  <HLinks>
    <vt:vector size="6" baseType="variant">
      <vt:variant>
        <vt:i4>7929970</vt:i4>
      </vt:variant>
      <vt:variant>
        <vt:i4>0</vt:i4>
      </vt:variant>
      <vt:variant>
        <vt:i4>0</vt:i4>
      </vt:variant>
      <vt:variant>
        <vt:i4>5</vt:i4>
      </vt:variant>
      <vt:variant>
        <vt:lpwstr>http://www.stbarnabashospice.co.uk/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Sterling Management Centre Ltd</dc:title>
  <dc:creator>RICHARD</dc:creator>
  <cp:lastModifiedBy>Debbie Watson</cp:lastModifiedBy>
  <cp:revision>4</cp:revision>
  <cp:lastPrinted>2019-09-26T11:59:00Z</cp:lastPrinted>
  <dcterms:created xsi:type="dcterms:W3CDTF">2019-09-26T11:57:00Z</dcterms:created>
  <dcterms:modified xsi:type="dcterms:W3CDTF">2019-10-24T15:52:00Z</dcterms:modified>
</cp:coreProperties>
</file>